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722D" w14:textId="77777777" w:rsidR="007248AC" w:rsidRDefault="00000000">
      <w:r w:rsidRPr="007248AC">
        <w:rPr>
          <w:b/>
          <w:bCs/>
          <w:sz w:val="24"/>
          <w:szCs w:val="24"/>
        </w:rPr>
        <w:t>Being a village hall trustee (committee member)</w:t>
      </w:r>
      <w:r>
        <w:t xml:space="preserve"> </w:t>
      </w:r>
    </w:p>
    <w:p w14:paraId="4A107613" w14:textId="20930BD8" w:rsidR="007248AC" w:rsidRDefault="00000000">
      <w:r>
        <w:t>You are</w:t>
      </w:r>
      <w:r w:rsidR="007248AC">
        <w:t xml:space="preserve"> part of</w:t>
      </w:r>
      <w:r>
        <w:t xml:space="preserve"> one of the most important facilities in your community. There are over ten thousand village halls</w:t>
      </w:r>
      <w:r w:rsidR="007248AC">
        <w:t xml:space="preserve"> and community buildings</w:t>
      </w:r>
      <w:r>
        <w:t xml:space="preserve"> in England</w:t>
      </w:r>
      <w:r w:rsidR="007248AC">
        <w:t>, so welcome!</w:t>
      </w:r>
    </w:p>
    <w:p w14:paraId="78EC9286" w14:textId="347E21DF" w:rsidR="00117682" w:rsidRPr="007248AC" w:rsidRDefault="007248AC">
      <w:pPr>
        <w:rPr>
          <w:b/>
          <w:bCs/>
          <w:sz w:val="24"/>
          <w:szCs w:val="24"/>
        </w:rPr>
      </w:pPr>
      <w:r>
        <w:rPr>
          <w:b/>
          <w:bCs/>
          <w:sz w:val="24"/>
          <w:szCs w:val="24"/>
        </w:rPr>
        <w:t>What do I do as a trustee?</w:t>
      </w:r>
    </w:p>
    <w:p w14:paraId="26BE1239" w14:textId="48FB7E1E" w:rsidR="00117682" w:rsidRDefault="00000000">
      <w:pPr>
        <w:spacing w:after="0"/>
      </w:pPr>
      <w:r>
        <w:t>M</w:t>
      </w:r>
      <w:r w:rsidR="007248AC">
        <w:t xml:space="preserve">ost village halls and community buildings are charities, belonging to the communities they serve. </w:t>
      </w:r>
      <w:r w:rsidR="000157F9">
        <w:t>In a nutshell, m</w:t>
      </w:r>
      <w:r>
        <w:t>embers of a village hall management committee are usually the managing trustees and have control and legal responsibility for</w:t>
      </w:r>
      <w:r w:rsidR="007248AC">
        <w:t xml:space="preserve"> the</w:t>
      </w:r>
      <w:r>
        <w:t xml:space="preserve"> charity’s management and administration. </w:t>
      </w:r>
    </w:p>
    <w:p w14:paraId="3BA34605" w14:textId="77777777" w:rsidR="007248AC" w:rsidRDefault="007248AC">
      <w:pPr>
        <w:spacing w:after="0"/>
      </w:pPr>
    </w:p>
    <w:p w14:paraId="0BC388AC" w14:textId="1A01201A" w:rsidR="007248AC" w:rsidRPr="007248AC" w:rsidRDefault="007248AC">
      <w:pPr>
        <w:spacing w:after="0"/>
        <w:rPr>
          <w:b/>
          <w:bCs/>
          <w:sz w:val="24"/>
          <w:szCs w:val="24"/>
        </w:rPr>
      </w:pPr>
      <w:r>
        <w:rPr>
          <w:b/>
          <w:bCs/>
          <w:sz w:val="24"/>
          <w:szCs w:val="24"/>
        </w:rPr>
        <w:t>Sounds a bit complicated…</w:t>
      </w:r>
    </w:p>
    <w:p w14:paraId="3D7AD07C" w14:textId="77777777" w:rsidR="007248AC" w:rsidRDefault="007248AC">
      <w:pPr>
        <w:spacing w:after="0"/>
      </w:pPr>
      <w:r>
        <w:t xml:space="preserve">Not really! </w:t>
      </w:r>
    </w:p>
    <w:p w14:paraId="40F97B7E" w14:textId="3053282D" w:rsidR="007248AC" w:rsidRDefault="007248AC">
      <w:pPr>
        <w:spacing w:after="0"/>
      </w:pPr>
      <w:r>
        <w:t>You’re part of a long history, and over time a lot of support and good practice has evolved, so you’re not on your own. Devon Communities Together (DCT) have been the Rural Community Council for Devon since the 1960s, and we’re here to advise, share information</w:t>
      </w:r>
      <w:r w:rsidR="008401B6">
        <w:t>,</w:t>
      </w:r>
      <w:r>
        <w:t xml:space="preserve"> </w:t>
      </w:r>
      <w:r w:rsidR="000157F9">
        <w:t xml:space="preserve">training </w:t>
      </w:r>
      <w:r>
        <w:t>and model policy documents</w:t>
      </w:r>
      <w:r w:rsidR="000157F9">
        <w:t xml:space="preserve"> to help you. Our work is free to hall</w:t>
      </w:r>
      <w:r w:rsidR="008401B6">
        <w:t>s</w:t>
      </w:r>
      <w:r w:rsidR="000157F9">
        <w:t xml:space="preserve"> and buildings who join us as members of DCT, and the link is </w:t>
      </w:r>
      <w:r w:rsidR="008401B6">
        <w:t>below. We charge a fee for information sheets and model policies for non-member halls.</w:t>
      </w:r>
    </w:p>
    <w:p w14:paraId="100C7DE0" w14:textId="45302198" w:rsidR="000157F9" w:rsidRDefault="000157F9">
      <w:pPr>
        <w:spacing w:after="0"/>
        <w:rPr>
          <w:color w:val="00B050"/>
        </w:rPr>
      </w:pPr>
      <w:r>
        <w:rPr>
          <w:color w:val="00B050"/>
        </w:rPr>
        <w:t>Insert link</w:t>
      </w:r>
    </w:p>
    <w:p w14:paraId="6DB1937A" w14:textId="77777777" w:rsidR="000157F9" w:rsidRDefault="000157F9">
      <w:pPr>
        <w:spacing w:after="0"/>
      </w:pPr>
      <w:r>
        <w:t xml:space="preserve">We’re also part of the wider national support and information network provided by Action for Communities in Rural England – ACRE, who are the over-arching organisation which all Rural Community Councils are part of. </w:t>
      </w:r>
      <w:proofErr w:type="gramStart"/>
      <w:r>
        <w:t>So</w:t>
      </w:r>
      <w:proofErr w:type="gramEnd"/>
      <w:r>
        <w:t xml:space="preserve"> there is a lot of expertise there for you to use.</w:t>
      </w:r>
    </w:p>
    <w:p w14:paraId="7FCE48AF" w14:textId="77777777" w:rsidR="000157F9" w:rsidRDefault="000157F9">
      <w:pPr>
        <w:spacing w:after="0"/>
      </w:pPr>
    </w:p>
    <w:p w14:paraId="460F7E8A" w14:textId="2AE66624" w:rsidR="00117682" w:rsidRPr="000157F9" w:rsidRDefault="00000000">
      <w:pPr>
        <w:spacing w:after="0"/>
        <w:rPr>
          <w:b/>
          <w:bCs/>
          <w:sz w:val="24"/>
          <w:szCs w:val="24"/>
        </w:rPr>
      </w:pPr>
      <w:r>
        <w:t xml:space="preserve"> </w:t>
      </w:r>
      <w:r w:rsidR="000157F9">
        <w:rPr>
          <w:b/>
          <w:bCs/>
          <w:sz w:val="24"/>
          <w:szCs w:val="24"/>
        </w:rPr>
        <w:t>And what does a trustee do to look after the hall or building charity?</w:t>
      </w:r>
    </w:p>
    <w:p w14:paraId="5B764787" w14:textId="77777777" w:rsidR="00117682" w:rsidRDefault="00117682">
      <w:pPr>
        <w:spacing w:after="0"/>
      </w:pPr>
    </w:p>
    <w:p w14:paraId="7B6807C7" w14:textId="61E6A8AB" w:rsidR="00117682" w:rsidRDefault="000157F9" w:rsidP="008B3CE8">
      <w:pPr>
        <w:pStyle w:val="ListParagraph"/>
        <w:numPr>
          <w:ilvl w:val="0"/>
          <w:numId w:val="1"/>
        </w:numPr>
        <w:spacing w:after="0"/>
      </w:pPr>
      <w:r w:rsidRPr="00A75919">
        <w:rPr>
          <w:b/>
          <w:bCs/>
        </w:rPr>
        <w:t xml:space="preserve">Make sure </w:t>
      </w:r>
      <w:r w:rsidR="00000000" w:rsidRPr="00A75919">
        <w:rPr>
          <w:b/>
          <w:bCs/>
        </w:rPr>
        <w:t xml:space="preserve">the charity is </w:t>
      </w:r>
      <w:r w:rsidRPr="00A75919">
        <w:rPr>
          <w:b/>
          <w:bCs/>
        </w:rPr>
        <w:t>operating</w:t>
      </w:r>
      <w:r w:rsidR="00000000" w:rsidRPr="00A75919">
        <w:rPr>
          <w:b/>
          <w:bCs/>
        </w:rPr>
        <w:t xml:space="preserve"> for the benefit </w:t>
      </w:r>
      <w:r w:rsidRPr="00A75919">
        <w:rPr>
          <w:b/>
          <w:bCs/>
        </w:rPr>
        <w:t>of the community</w:t>
      </w:r>
      <w:r>
        <w:t xml:space="preserve"> </w:t>
      </w:r>
      <w:r w:rsidR="00000000">
        <w:t xml:space="preserve">as set out in </w:t>
      </w:r>
      <w:r>
        <w:t>your</w:t>
      </w:r>
      <w:r w:rsidR="00000000">
        <w:t xml:space="preserve"> governing document</w:t>
      </w:r>
      <w:r>
        <w:t>.</w:t>
      </w:r>
      <w:r w:rsidR="008B3CE8">
        <w:t xml:space="preserve"> </w:t>
      </w:r>
      <w:r w:rsidR="00000000">
        <w:t xml:space="preserve">Test your activities against the charity’s </w:t>
      </w:r>
      <w:proofErr w:type="gramStart"/>
      <w:r w:rsidR="008401B6">
        <w:t>aims</w:t>
      </w:r>
      <w:r w:rsidR="008B3CE8">
        <w:t>, and</w:t>
      </w:r>
      <w:proofErr w:type="gramEnd"/>
      <w:r w:rsidR="008B3CE8">
        <w:t xml:space="preserve"> understand how you can help build this and how your community might benefit.</w:t>
      </w:r>
      <w:r w:rsidR="008401B6">
        <w:t xml:space="preserve"> You mus</w:t>
      </w:r>
      <w:r w:rsidR="00A75919">
        <w:t>t</w:t>
      </w:r>
      <w:r w:rsidR="008401B6">
        <w:t>n’t personally benefit from being a trustee. It</w:t>
      </w:r>
      <w:r w:rsidR="00A75919">
        <w:t xml:space="preserve">’s </w:t>
      </w:r>
      <w:r w:rsidR="008401B6">
        <w:t>wise to avoid any potential conflicts of interest too.</w:t>
      </w:r>
      <w:r w:rsidR="00A75919">
        <w:t xml:space="preserve"> Your role is always to put the charity’s best interests first.</w:t>
      </w:r>
    </w:p>
    <w:p w14:paraId="5E7D7A16" w14:textId="0D5CCBE1" w:rsidR="008B3CE8" w:rsidRDefault="008B3CE8" w:rsidP="008B3CE8">
      <w:pPr>
        <w:pStyle w:val="ListParagraph"/>
        <w:numPr>
          <w:ilvl w:val="0"/>
          <w:numId w:val="1"/>
        </w:numPr>
        <w:spacing w:after="0"/>
      </w:pPr>
      <w:r w:rsidRPr="00A75919">
        <w:rPr>
          <w:b/>
          <w:bCs/>
        </w:rPr>
        <w:t>Be accountable</w:t>
      </w:r>
      <w:r>
        <w:t>. You must collectively run the charity effectively and comply with the law. Trustees need to meet</w:t>
      </w:r>
      <w:r>
        <w:t xml:space="preserve"> statutory accounting and reporting requirements</w:t>
      </w:r>
      <w:r>
        <w:t>, and if you have a particular responsibility on the committee, make sure you and others do what they need to do.</w:t>
      </w:r>
      <w:r w:rsidR="006A2722">
        <w:t xml:space="preserve"> </w:t>
      </w:r>
    </w:p>
    <w:p w14:paraId="66F446B5" w14:textId="77777777" w:rsidR="00A75919" w:rsidRDefault="008401B6" w:rsidP="00A75919">
      <w:pPr>
        <w:pStyle w:val="ListParagraph"/>
        <w:numPr>
          <w:ilvl w:val="0"/>
          <w:numId w:val="1"/>
        </w:numPr>
        <w:spacing w:after="0"/>
      </w:pPr>
      <w:r w:rsidRPr="00A75919">
        <w:rPr>
          <w:b/>
          <w:bCs/>
        </w:rPr>
        <w:t>You need to understand the documents that govern your hall</w:t>
      </w:r>
      <w:r>
        <w:t>; these might be a conveyance, lease, trust etc. These might have been amended over the years too. You need to know what</w:t>
      </w:r>
      <w:r w:rsidR="00000000">
        <w:t xml:space="preserve"> the charity exists to do</w:t>
      </w:r>
      <w:r>
        <w:t>, w</w:t>
      </w:r>
      <w:r w:rsidR="00000000">
        <w:t>hat powers it has</w:t>
      </w:r>
      <w:r>
        <w:t xml:space="preserve">, the rules it has for meetings and decision making. Your governance may also give guidance on being a trustee – </w:t>
      </w:r>
      <w:r w:rsidR="00000000">
        <w:t>who</w:t>
      </w:r>
      <w:r>
        <w:t xml:space="preserve">; </w:t>
      </w:r>
      <w:r w:rsidR="00000000">
        <w:t>how many</w:t>
      </w:r>
      <w:r>
        <w:t xml:space="preserve"> of you; </w:t>
      </w:r>
      <w:r w:rsidR="00000000">
        <w:t xml:space="preserve">how </w:t>
      </w:r>
      <w:r>
        <w:t xml:space="preserve">you are </w:t>
      </w:r>
      <w:r w:rsidR="00000000">
        <w:t>appointed and removed</w:t>
      </w:r>
      <w:r>
        <w:t xml:space="preserve">. It’s also worth knowing how to change your governing document if needed, and in the </w:t>
      </w:r>
      <w:proofErr w:type="gramStart"/>
      <w:r>
        <w:t>worst case</w:t>
      </w:r>
      <w:proofErr w:type="gramEnd"/>
      <w:r>
        <w:t xml:space="preserve"> scenario how to close the charity.</w:t>
      </w:r>
    </w:p>
    <w:p w14:paraId="233B2F3B" w14:textId="38CB0E46" w:rsidR="00A75919" w:rsidRDefault="00A75919" w:rsidP="00A75919">
      <w:pPr>
        <w:pStyle w:val="ListParagraph"/>
        <w:numPr>
          <w:ilvl w:val="0"/>
          <w:numId w:val="1"/>
        </w:numPr>
        <w:spacing w:after="0"/>
      </w:pPr>
      <w:r w:rsidRPr="00A75919">
        <w:rPr>
          <w:b/>
          <w:bCs/>
        </w:rPr>
        <w:t xml:space="preserve">The hall committee should manage responsibly. </w:t>
      </w:r>
      <w:r>
        <w:t>Any charity a</w:t>
      </w:r>
      <w:r>
        <w:t xml:space="preserve">ssets </w:t>
      </w:r>
      <w:r>
        <w:t>must</w:t>
      </w:r>
      <w:r>
        <w:t xml:space="preserve"> only</w:t>
      </w:r>
      <w:r>
        <w:t xml:space="preserve"> be</w:t>
      </w:r>
      <w:r>
        <w:t xml:space="preserve"> used to support or carry out its purposes</w:t>
      </w:r>
      <w:r>
        <w:t>, and you need to avoid undue risk or over-commitment, so t</w:t>
      </w:r>
      <w:r>
        <w:t>ake special care when investing or borrowing.</w:t>
      </w:r>
      <w:r>
        <w:t xml:space="preserve"> You should also be aware of</w:t>
      </w:r>
      <w:r>
        <w:t xml:space="preserve"> any restrictions on spending funds or selling land.</w:t>
      </w:r>
    </w:p>
    <w:p w14:paraId="308FB7FC" w14:textId="48AE4D8B" w:rsidR="00A75919" w:rsidRDefault="00A75919" w:rsidP="00A75919">
      <w:pPr>
        <w:spacing w:after="0"/>
        <w:ind w:left="720"/>
      </w:pPr>
    </w:p>
    <w:p w14:paraId="480E3ECC" w14:textId="7A209B92" w:rsidR="00A75919" w:rsidRPr="001C61AE" w:rsidRDefault="00BF422B" w:rsidP="00A75919">
      <w:pPr>
        <w:pStyle w:val="ListParagraph"/>
        <w:numPr>
          <w:ilvl w:val="0"/>
          <w:numId w:val="1"/>
        </w:numPr>
        <w:spacing w:after="0"/>
        <w:rPr>
          <w:b/>
          <w:bCs/>
        </w:rPr>
      </w:pPr>
      <w:r w:rsidRPr="00BF422B">
        <w:rPr>
          <w:b/>
          <w:bCs/>
        </w:rPr>
        <w:lastRenderedPageBreak/>
        <w:t>Make sure you observe</w:t>
      </w:r>
      <w:r w:rsidR="00A75919" w:rsidRPr="00BF422B">
        <w:rPr>
          <w:b/>
          <w:bCs/>
        </w:rPr>
        <w:t xml:space="preserve"> charity law</w:t>
      </w:r>
      <w:r>
        <w:rPr>
          <w:b/>
          <w:bCs/>
        </w:rPr>
        <w:t xml:space="preserve"> and you’ll find help with this in the Charity Commission </w:t>
      </w:r>
      <w:proofErr w:type="gramStart"/>
      <w:r>
        <w:rPr>
          <w:b/>
          <w:bCs/>
        </w:rPr>
        <w:t>Guide :</w:t>
      </w:r>
      <w:proofErr w:type="gramEnd"/>
      <w:r>
        <w:rPr>
          <w:b/>
          <w:bCs/>
        </w:rPr>
        <w:t xml:space="preserve"> ‘The Essential Trustee’. </w:t>
      </w:r>
      <w:r w:rsidR="00714303">
        <w:rPr>
          <w:b/>
          <w:bCs/>
          <w:color w:val="00B050"/>
        </w:rPr>
        <w:t xml:space="preserve">(Insert link from our website </w:t>
      </w:r>
      <w:proofErr w:type="gramStart"/>
      <w:r w:rsidR="00714303">
        <w:rPr>
          <w:b/>
          <w:bCs/>
          <w:color w:val="00B050"/>
        </w:rPr>
        <w:t>resources)</w:t>
      </w:r>
      <w:r>
        <w:t>Your</w:t>
      </w:r>
      <w:proofErr w:type="gramEnd"/>
      <w:r>
        <w:t xml:space="preserve"> committee will need to make sure you’re registered appropriately with the Charity </w:t>
      </w:r>
      <w:proofErr w:type="gramStart"/>
      <w:r>
        <w:t>Commission, and</w:t>
      </w:r>
      <w:proofErr w:type="gramEnd"/>
      <w:r>
        <w:t xml:space="preserve"> report any changes. You’ll need to be aware that you submit and annual return on your accounts, </w:t>
      </w:r>
      <w:proofErr w:type="gramStart"/>
      <w:r>
        <w:t>and also</w:t>
      </w:r>
      <w:proofErr w:type="gramEnd"/>
      <w:r>
        <w:t xml:space="preserve"> if there are any other reporting asks. </w:t>
      </w:r>
    </w:p>
    <w:p w14:paraId="6ECF4528" w14:textId="77777777" w:rsidR="001C61AE" w:rsidRDefault="001C61AE">
      <w:pPr>
        <w:spacing w:after="0"/>
      </w:pPr>
    </w:p>
    <w:p w14:paraId="6C33FA6E" w14:textId="01898C1E" w:rsidR="00117682" w:rsidRDefault="001C61AE">
      <w:pPr>
        <w:spacing w:after="0"/>
      </w:pPr>
      <w:r>
        <w:rPr>
          <w:b/>
          <w:bCs/>
        </w:rPr>
        <w:t xml:space="preserve">Being a trustee is not about being perfect </w:t>
      </w:r>
      <w:r>
        <w:t xml:space="preserve">but being responsible and doing your best. </w:t>
      </w:r>
      <w:r>
        <w:t xml:space="preserve">The </w:t>
      </w:r>
      <w:r>
        <w:t>Charity C</w:t>
      </w:r>
      <w:r>
        <w:t>ommission recognises that most trustees are volunteers who sometimes make honest mistakes</w:t>
      </w:r>
      <w:r>
        <w:t xml:space="preserve"> but </w:t>
      </w:r>
      <w:r w:rsidR="00000000">
        <w:t xml:space="preserve">expects trustees to take their responsibilities seriously. </w:t>
      </w:r>
    </w:p>
    <w:p w14:paraId="1B4D2B35" w14:textId="7933C184" w:rsidR="001C61AE" w:rsidRDefault="00000000" w:rsidP="001C61AE">
      <w:pPr>
        <w:spacing w:after="0"/>
      </w:pPr>
      <w:r>
        <w:t xml:space="preserve">Trustees are not expected to be perfect - they are expected to do their best to comply with their duties. </w:t>
      </w:r>
      <w:r w:rsidR="001C61AE">
        <w:t>Charity law generally protects trustees who have acted honestly and reasonably.</w:t>
      </w:r>
      <w:r w:rsidR="001C61AE" w:rsidRPr="001C61AE">
        <w:t xml:space="preserve"> </w:t>
      </w:r>
      <w:r w:rsidR="001C61AE">
        <w:t>However, t</w:t>
      </w:r>
      <w:r w:rsidR="001C61AE">
        <w:t>rustees who act in breach of their legal duties can be held responsible for consequences that flow from such a breach and for any loss the charity incurs as a result.</w:t>
      </w:r>
    </w:p>
    <w:p w14:paraId="3035B397" w14:textId="77777777" w:rsidR="001C61AE" w:rsidRDefault="001C61AE" w:rsidP="001C61AE">
      <w:pPr>
        <w:spacing w:after="0"/>
      </w:pPr>
    </w:p>
    <w:p w14:paraId="15AF4FF8" w14:textId="4DF3157A" w:rsidR="001C61AE" w:rsidRDefault="001C61AE" w:rsidP="001C61AE">
      <w:pPr>
        <w:spacing w:after="0"/>
        <w:rPr>
          <w:b/>
          <w:bCs/>
          <w:sz w:val="24"/>
          <w:szCs w:val="24"/>
        </w:rPr>
      </w:pPr>
      <w:r>
        <w:rPr>
          <w:b/>
          <w:bCs/>
          <w:sz w:val="24"/>
          <w:szCs w:val="24"/>
        </w:rPr>
        <w:t xml:space="preserve">What support framework </w:t>
      </w:r>
      <w:proofErr w:type="gramStart"/>
      <w:r>
        <w:rPr>
          <w:b/>
          <w:bCs/>
          <w:sz w:val="24"/>
          <w:szCs w:val="24"/>
        </w:rPr>
        <w:t>do</w:t>
      </w:r>
      <w:proofErr w:type="gramEnd"/>
      <w:r>
        <w:rPr>
          <w:b/>
          <w:bCs/>
          <w:sz w:val="24"/>
          <w:szCs w:val="24"/>
        </w:rPr>
        <w:t xml:space="preserve"> trustees have to help make sure their building is operation properly?</w:t>
      </w:r>
    </w:p>
    <w:p w14:paraId="617B1EAB" w14:textId="05B8D031" w:rsidR="00117682" w:rsidRDefault="001C61AE">
      <w:pPr>
        <w:spacing w:after="0"/>
      </w:pPr>
      <w:proofErr w:type="gramStart"/>
      <w:r>
        <w:t xml:space="preserve">Having </w:t>
      </w:r>
      <w:r w:rsidR="00714303">
        <w:t xml:space="preserve"> a</w:t>
      </w:r>
      <w:proofErr w:type="gramEnd"/>
      <w:r w:rsidR="00714303">
        <w:t xml:space="preserve"> set of policies that are reviewed annually and are fit for purpose is the key to good day to day running of your building. Some of these will be a legal requirement, others good practice </w:t>
      </w:r>
      <w:proofErr w:type="gramStart"/>
      <w:r w:rsidR="00714303">
        <w:t>to protect</w:t>
      </w:r>
      <w:proofErr w:type="gramEnd"/>
      <w:r w:rsidR="00714303">
        <w:t xml:space="preserve"> both trustees and hall users. We can supply o</w:t>
      </w:r>
      <w:r w:rsidR="00000000">
        <w:t xml:space="preserve">ur members </w:t>
      </w:r>
      <w:r w:rsidR="00714303">
        <w:t>with</w:t>
      </w:r>
      <w:r w:rsidR="00000000">
        <w:t xml:space="preserve"> guides and temp</w:t>
      </w:r>
      <w:r w:rsidR="00714303">
        <w:t>lates</w:t>
      </w:r>
      <w:r w:rsidR="00000000">
        <w:t>.</w:t>
      </w:r>
    </w:p>
    <w:p w14:paraId="02E8E464" w14:textId="77777777" w:rsidR="00117682" w:rsidRPr="00714303" w:rsidRDefault="00000000">
      <w:pPr>
        <w:spacing w:after="0"/>
        <w:rPr>
          <w:b/>
          <w:bCs/>
        </w:rPr>
      </w:pPr>
      <w:r w:rsidRPr="00714303">
        <w:rPr>
          <w:b/>
          <w:bCs/>
        </w:rPr>
        <w:t>Key Policies:</w:t>
      </w:r>
    </w:p>
    <w:p w14:paraId="7E4A6FF8" w14:textId="77777777" w:rsidR="00714303" w:rsidRDefault="00000000" w:rsidP="00714303">
      <w:pPr>
        <w:pStyle w:val="ListParagraph"/>
        <w:numPr>
          <w:ilvl w:val="0"/>
          <w:numId w:val="2"/>
        </w:numPr>
        <w:spacing w:after="0"/>
      </w:pPr>
      <w:r>
        <w:t>Data Protection</w:t>
      </w:r>
    </w:p>
    <w:p w14:paraId="26AF668A" w14:textId="77777777" w:rsidR="00714303" w:rsidRDefault="00000000" w:rsidP="00714303">
      <w:pPr>
        <w:pStyle w:val="ListParagraph"/>
        <w:numPr>
          <w:ilvl w:val="0"/>
          <w:numId w:val="2"/>
        </w:numPr>
        <w:spacing w:after="0"/>
      </w:pPr>
      <w:r>
        <w:t>Equal Opportunities &amp; Diversity</w:t>
      </w:r>
    </w:p>
    <w:p w14:paraId="33BA1BF9" w14:textId="6A526753" w:rsidR="00714303" w:rsidRDefault="00000000" w:rsidP="00714303">
      <w:pPr>
        <w:pStyle w:val="ListParagraph"/>
        <w:numPr>
          <w:ilvl w:val="0"/>
          <w:numId w:val="2"/>
        </w:numPr>
        <w:spacing w:after="0"/>
      </w:pPr>
      <w:r>
        <w:t>Financ</w:t>
      </w:r>
      <w:r w:rsidR="00714303">
        <w:t>e</w:t>
      </w:r>
    </w:p>
    <w:p w14:paraId="7923CB6A" w14:textId="66E662F5" w:rsidR="00714303" w:rsidRDefault="00000000" w:rsidP="00714303">
      <w:pPr>
        <w:pStyle w:val="ListParagraph"/>
        <w:numPr>
          <w:ilvl w:val="0"/>
          <w:numId w:val="2"/>
        </w:numPr>
        <w:spacing w:after="0"/>
      </w:pPr>
      <w:r>
        <w:t>Fire Safety</w:t>
      </w:r>
      <w:r w:rsidR="002141D2">
        <w:t xml:space="preserve">-this link can be useful:  </w:t>
      </w:r>
      <w:r w:rsidR="002141D2">
        <w:rPr>
          <w:color w:val="00B050"/>
        </w:rPr>
        <w:t xml:space="preserve">Insert govt link: </w:t>
      </w:r>
      <w:hyperlink r:id="rId7" w:history="1">
        <w:r w:rsidR="002141D2" w:rsidRPr="002141D2">
          <w:rPr>
            <w:rStyle w:val="Hyperlink"/>
          </w:rPr>
          <w:t>Fire safety risk assessment: small and medium places of assembly - GOV.UK</w:t>
        </w:r>
      </w:hyperlink>
    </w:p>
    <w:p w14:paraId="5170F3D4" w14:textId="77777777" w:rsidR="00714303" w:rsidRDefault="00000000" w:rsidP="00714303">
      <w:pPr>
        <w:pStyle w:val="ListParagraph"/>
        <w:numPr>
          <w:ilvl w:val="0"/>
          <w:numId w:val="2"/>
        </w:numPr>
        <w:spacing w:after="0"/>
      </w:pPr>
      <w:r>
        <w:t>Health &amp; Safety</w:t>
      </w:r>
    </w:p>
    <w:p w14:paraId="1597A97A" w14:textId="4016B419" w:rsidR="00714303" w:rsidRDefault="00714303" w:rsidP="00714303">
      <w:pPr>
        <w:pStyle w:val="ListParagraph"/>
        <w:numPr>
          <w:ilvl w:val="0"/>
          <w:numId w:val="2"/>
        </w:numPr>
        <w:spacing w:after="0"/>
      </w:pPr>
      <w:r>
        <w:t>Hiring Agreement</w:t>
      </w:r>
    </w:p>
    <w:p w14:paraId="3093D30D" w14:textId="6C946FF3" w:rsidR="00117682" w:rsidRDefault="00000000" w:rsidP="00714303">
      <w:pPr>
        <w:pStyle w:val="ListParagraph"/>
        <w:numPr>
          <w:ilvl w:val="0"/>
          <w:numId w:val="2"/>
        </w:numPr>
        <w:spacing w:after="0"/>
      </w:pPr>
      <w:r>
        <w:t>Safeguarding</w:t>
      </w:r>
    </w:p>
    <w:p w14:paraId="32146FE4" w14:textId="77777777" w:rsidR="00117682" w:rsidRDefault="00117682">
      <w:pPr>
        <w:spacing w:after="0"/>
      </w:pPr>
    </w:p>
    <w:p w14:paraId="55155352" w14:textId="0DA4FBE1" w:rsidR="00117682" w:rsidRPr="00714303" w:rsidRDefault="00000000">
      <w:pPr>
        <w:spacing w:after="0"/>
        <w:rPr>
          <w:b/>
          <w:bCs/>
        </w:rPr>
      </w:pPr>
      <w:r w:rsidRPr="00714303">
        <w:rPr>
          <w:b/>
          <w:bCs/>
        </w:rPr>
        <w:t>Other Policies</w:t>
      </w:r>
      <w:r w:rsidR="00714303">
        <w:t xml:space="preserve"> </w:t>
      </w:r>
      <w:r w:rsidR="00714303" w:rsidRPr="00714303">
        <w:rPr>
          <w:b/>
          <w:bCs/>
        </w:rPr>
        <w:t>that might be useful</w:t>
      </w:r>
      <w:r w:rsidRPr="00714303">
        <w:rPr>
          <w:b/>
          <w:bCs/>
        </w:rPr>
        <w:t>:</w:t>
      </w:r>
    </w:p>
    <w:p w14:paraId="0CDFC01A" w14:textId="77777777" w:rsidR="00714303" w:rsidRDefault="00000000" w:rsidP="00714303">
      <w:pPr>
        <w:pStyle w:val="ListParagraph"/>
        <w:numPr>
          <w:ilvl w:val="0"/>
          <w:numId w:val="3"/>
        </w:numPr>
        <w:spacing w:after="0"/>
      </w:pPr>
      <w:r>
        <w:t>Code of Conduct</w:t>
      </w:r>
    </w:p>
    <w:p w14:paraId="6D36C8E4" w14:textId="77777777" w:rsidR="00714303" w:rsidRDefault="00000000" w:rsidP="00714303">
      <w:pPr>
        <w:pStyle w:val="ListParagraph"/>
        <w:numPr>
          <w:ilvl w:val="0"/>
          <w:numId w:val="3"/>
        </w:numPr>
        <w:spacing w:after="0"/>
      </w:pPr>
      <w:r>
        <w:t>Communications</w:t>
      </w:r>
    </w:p>
    <w:p w14:paraId="04CAF946" w14:textId="77777777" w:rsidR="00714303" w:rsidRDefault="00000000" w:rsidP="00714303">
      <w:pPr>
        <w:pStyle w:val="ListParagraph"/>
        <w:numPr>
          <w:ilvl w:val="0"/>
          <w:numId w:val="3"/>
        </w:numPr>
        <w:spacing w:after="0"/>
      </w:pPr>
      <w:r>
        <w:t>Complaints</w:t>
      </w:r>
    </w:p>
    <w:p w14:paraId="41585F04" w14:textId="77777777" w:rsidR="00714303" w:rsidRDefault="00000000" w:rsidP="00714303">
      <w:pPr>
        <w:pStyle w:val="ListParagraph"/>
        <w:numPr>
          <w:ilvl w:val="0"/>
          <w:numId w:val="3"/>
        </w:numPr>
        <w:spacing w:after="0"/>
      </w:pPr>
      <w:r>
        <w:t>Conflict of Interest</w:t>
      </w:r>
    </w:p>
    <w:p w14:paraId="49C12407" w14:textId="77777777" w:rsidR="00714303" w:rsidRDefault="00000000" w:rsidP="00714303">
      <w:pPr>
        <w:pStyle w:val="ListParagraph"/>
        <w:numPr>
          <w:ilvl w:val="0"/>
          <w:numId w:val="3"/>
        </w:numPr>
        <w:spacing w:after="0"/>
      </w:pPr>
      <w:r>
        <w:t>Disciplinary &amp; Grievance</w:t>
      </w:r>
    </w:p>
    <w:p w14:paraId="49C95D07" w14:textId="4A0C3F72" w:rsidR="00714303" w:rsidRDefault="00000000" w:rsidP="002141D2">
      <w:pPr>
        <w:pStyle w:val="ListParagraph"/>
        <w:numPr>
          <w:ilvl w:val="0"/>
          <w:numId w:val="3"/>
        </w:numPr>
        <w:spacing w:after="0"/>
      </w:pPr>
      <w:r>
        <w:t>Environmental &amp; Energy</w:t>
      </w:r>
    </w:p>
    <w:p w14:paraId="244ADAE2" w14:textId="77777777" w:rsidR="00714303" w:rsidRDefault="00000000" w:rsidP="00714303">
      <w:pPr>
        <w:pStyle w:val="ListParagraph"/>
        <w:numPr>
          <w:ilvl w:val="0"/>
          <w:numId w:val="3"/>
        </w:numPr>
        <w:spacing w:after="0"/>
      </w:pPr>
      <w:r>
        <w:t>Investment</w:t>
      </w:r>
    </w:p>
    <w:p w14:paraId="3E6E37B1" w14:textId="77777777" w:rsidR="00714303" w:rsidRDefault="00000000" w:rsidP="00714303">
      <w:pPr>
        <w:pStyle w:val="ListParagraph"/>
        <w:numPr>
          <w:ilvl w:val="0"/>
          <w:numId w:val="3"/>
        </w:numPr>
        <w:spacing w:after="0"/>
      </w:pPr>
      <w:r>
        <w:t>Legionella</w:t>
      </w:r>
    </w:p>
    <w:p w14:paraId="63F9E4B5" w14:textId="77777777" w:rsidR="00714303" w:rsidRDefault="00000000" w:rsidP="00714303">
      <w:pPr>
        <w:pStyle w:val="ListParagraph"/>
        <w:numPr>
          <w:ilvl w:val="0"/>
          <w:numId w:val="3"/>
        </w:numPr>
        <w:spacing w:after="0"/>
      </w:pPr>
      <w:r>
        <w:t>Licensing</w:t>
      </w:r>
    </w:p>
    <w:p w14:paraId="2AC0D76E" w14:textId="77777777" w:rsidR="00714303" w:rsidRDefault="00000000" w:rsidP="00714303">
      <w:pPr>
        <w:pStyle w:val="ListParagraph"/>
        <w:numPr>
          <w:ilvl w:val="0"/>
          <w:numId w:val="3"/>
        </w:numPr>
        <w:spacing w:after="0"/>
      </w:pPr>
      <w:r>
        <w:t>Reserves</w:t>
      </w:r>
    </w:p>
    <w:p w14:paraId="5C4378AA" w14:textId="77777777" w:rsidR="00714303" w:rsidRDefault="00000000" w:rsidP="00714303">
      <w:pPr>
        <w:pStyle w:val="ListParagraph"/>
        <w:numPr>
          <w:ilvl w:val="0"/>
          <w:numId w:val="3"/>
        </w:numPr>
        <w:spacing w:after="0"/>
      </w:pPr>
      <w:r>
        <w:t>Risk Assessment</w:t>
      </w:r>
    </w:p>
    <w:p w14:paraId="08CB0D52" w14:textId="74898F18" w:rsidR="00117682" w:rsidRDefault="00000000" w:rsidP="00714303">
      <w:pPr>
        <w:pStyle w:val="ListParagraph"/>
        <w:numPr>
          <w:ilvl w:val="0"/>
          <w:numId w:val="3"/>
        </w:numPr>
        <w:spacing w:after="0"/>
      </w:pPr>
      <w:r>
        <w:t>Volunteers</w:t>
      </w:r>
    </w:p>
    <w:p w14:paraId="71941702" w14:textId="77777777" w:rsidR="00714303" w:rsidRDefault="00714303" w:rsidP="00714303">
      <w:pPr>
        <w:spacing w:after="0"/>
      </w:pPr>
    </w:p>
    <w:p w14:paraId="08271ADA" w14:textId="7190B90F" w:rsidR="00714303" w:rsidRDefault="00714303" w:rsidP="00714303">
      <w:pPr>
        <w:spacing w:after="0"/>
      </w:pPr>
      <w:r>
        <w:t>DCT can also help with advice and further information, and peer support meetings we call Cluster Meetings across Devon. See our webpage for details.</w:t>
      </w:r>
    </w:p>
    <w:p w14:paraId="70CAB3DD" w14:textId="77777777" w:rsidR="00117682" w:rsidRDefault="00117682">
      <w:pPr>
        <w:spacing w:after="0"/>
      </w:pPr>
    </w:p>
    <w:p w14:paraId="157C9FEA" w14:textId="77777777" w:rsidR="00117682" w:rsidRDefault="00117682">
      <w:pPr>
        <w:spacing w:after="0"/>
      </w:pPr>
    </w:p>
    <w:p w14:paraId="76F6F10E" w14:textId="77777777" w:rsidR="007248AC" w:rsidRDefault="007248AC">
      <w:pPr>
        <w:spacing w:after="0"/>
      </w:pPr>
    </w:p>
    <w:sectPr w:rsidR="007248A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450F" w14:textId="77777777" w:rsidR="00B55657" w:rsidRDefault="00B55657">
      <w:pPr>
        <w:spacing w:after="0" w:line="240" w:lineRule="auto"/>
      </w:pPr>
      <w:r>
        <w:separator/>
      </w:r>
    </w:p>
  </w:endnote>
  <w:endnote w:type="continuationSeparator" w:id="0">
    <w:p w14:paraId="1F3F2D9B" w14:textId="77777777" w:rsidR="00B55657" w:rsidRDefault="00B5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B4F9" w14:textId="77777777" w:rsidR="00B55657" w:rsidRDefault="00B55657">
      <w:pPr>
        <w:spacing w:after="0" w:line="240" w:lineRule="auto"/>
      </w:pPr>
      <w:r>
        <w:rPr>
          <w:color w:val="000000"/>
        </w:rPr>
        <w:separator/>
      </w:r>
    </w:p>
  </w:footnote>
  <w:footnote w:type="continuationSeparator" w:id="0">
    <w:p w14:paraId="25A848A4" w14:textId="77777777" w:rsidR="00B55657" w:rsidRDefault="00B55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2A11"/>
    <w:multiLevelType w:val="hybridMultilevel"/>
    <w:tmpl w:val="1D5494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681E0F19"/>
    <w:multiLevelType w:val="hybridMultilevel"/>
    <w:tmpl w:val="EB52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17436"/>
    <w:multiLevelType w:val="hybridMultilevel"/>
    <w:tmpl w:val="3026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388686">
    <w:abstractNumId w:val="0"/>
  </w:num>
  <w:num w:numId="2" w16cid:durableId="1022391696">
    <w:abstractNumId w:val="2"/>
  </w:num>
  <w:num w:numId="3" w16cid:durableId="32528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82"/>
    <w:rsid w:val="000157F9"/>
    <w:rsid w:val="00117682"/>
    <w:rsid w:val="001C61AE"/>
    <w:rsid w:val="002141D2"/>
    <w:rsid w:val="00372DFE"/>
    <w:rsid w:val="006A2722"/>
    <w:rsid w:val="00714303"/>
    <w:rsid w:val="007248AC"/>
    <w:rsid w:val="007270CC"/>
    <w:rsid w:val="008401B6"/>
    <w:rsid w:val="008B3CE8"/>
    <w:rsid w:val="00A75919"/>
    <w:rsid w:val="00B221DD"/>
    <w:rsid w:val="00B55657"/>
    <w:rsid w:val="00BF422B"/>
    <w:rsid w:val="00F01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1D9A"/>
  <w15:docId w15:val="{C5BD5B36-AA13-4CB3-8C7D-361081A0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unhideWhenUsed/>
    <w:rsid w:val="002141D2"/>
    <w:rPr>
      <w:color w:val="467886" w:themeColor="hyperlink"/>
      <w:u w:val="single"/>
    </w:rPr>
  </w:style>
  <w:style w:type="character" w:styleId="UnresolvedMention">
    <w:name w:val="Unresolved Mention"/>
    <w:basedOn w:val="DefaultParagraphFont"/>
    <w:uiPriority w:val="99"/>
    <w:semiHidden/>
    <w:unhideWhenUsed/>
    <w:rsid w:val="00214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fire-safety-risk-assessment-small-and-medium-places-of-assemb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4299</Characters>
  <Application>Microsoft Office Word</Application>
  <DocSecurity>0</DocSecurity>
  <Lines>153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Rich</dc:creator>
  <dc:description/>
  <cp:lastModifiedBy>Julie Matthews</cp:lastModifiedBy>
  <cp:revision>2</cp:revision>
  <dcterms:created xsi:type="dcterms:W3CDTF">2026-05-28T11:34:00Z</dcterms:created>
  <dcterms:modified xsi:type="dcterms:W3CDTF">2026-05-28T11:34:00Z</dcterms:modified>
</cp:coreProperties>
</file>